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июня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824-2804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Калинина Глеба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00 час. 01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Калинин Г.С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срок, предусмотренный ч. 1</w:t>
      </w:r>
      <w:r>
        <w:rPr>
          <w:rFonts w:ascii="Times New Roman" w:eastAsia="Times New Roman" w:hAnsi="Times New Roman" w:cs="Times New Roman"/>
        </w:rPr>
        <w:t xml:space="preserve">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</w:t>
      </w:r>
      <w:r>
        <w:rPr>
          <w:rFonts w:ascii="Times New Roman" w:eastAsia="Times New Roman" w:hAnsi="Times New Roman" w:cs="Times New Roman"/>
        </w:rPr>
        <w:t xml:space="preserve">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Калинин Г.С</w:t>
      </w:r>
      <w:r>
        <w:rPr>
          <w:rFonts w:ascii="Times New Roman" w:eastAsia="Times New Roman" w:hAnsi="Times New Roman" w:cs="Times New Roman"/>
        </w:rPr>
        <w:t>. не явился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>. Ходатайство об отложении рассмотрения дела от него не поступило, уважительная причина его неявки судом не</w:t>
      </w:r>
      <w:r>
        <w:rPr>
          <w:rFonts w:ascii="Times New Roman" w:eastAsia="Times New Roman" w:hAnsi="Times New Roman" w:cs="Times New Roman"/>
        </w:rPr>
        <w:t xml:space="preserve"> установлена. Предоставленной ему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извещенным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заседании,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воспользовался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Калинин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</w:t>
      </w:r>
      <w:r>
        <w:rPr>
          <w:rFonts w:ascii="Times New Roman" w:eastAsia="Times New Roman" w:hAnsi="Times New Roman" w:cs="Times New Roman"/>
        </w:rPr>
        <w:t xml:space="preserve">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17.01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почтового отправления,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уплатившей</w:t>
      </w:r>
      <w:r>
        <w:rPr>
          <w:rFonts w:ascii="Times New Roman" w:eastAsia="Times New Roman" w:hAnsi="Times New Roman" w:cs="Times New Roman"/>
        </w:rPr>
        <w:t xml:space="preserve">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Калинин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Калинин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Калинина Глеба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УФК по ХМАО – Югре (Администрация города Ханты-Мансийска)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Счет: </w:t>
      </w:r>
      <w:r>
        <w:rPr>
          <w:rFonts w:ascii="Times New Roman" w:eastAsia="Times New Roman" w:hAnsi="Times New Roman" w:cs="Times New Roman"/>
        </w:rPr>
        <w:t>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8601003378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</w:t>
      </w:r>
      <w:r>
        <w:rPr>
          <w:rFonts w:ascii="Times New Roman" w:eastAsia="Times New Roman" w:hAnsi="Times New Roman" w:cs="Times New Roman"/>
        </w:rPr>
        <w:t>8170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– </w:t>
      </w:r>
      <w:r>
        <w:rPr>
          <w:rFonts w:ascii="Times New Roman" w:eastAsia="Times New Roman" w:hAnsi="Times New Roman" w:cs="Times New Roman"/>
        </w:rPr>
        <w:t>37011601203019000140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03190854000000000109</w:t>
      </w:r>
      <w:r>
        <w:rPr>
          <w:rFonts w:ascii="Times New Roman" w:eastAsia="Times New Roman" w:hAnsi="Times New Roman" w:cs="Times New Roman"/>
        </w:rPr>
        <w:t>44962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